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Fassadensanierung Borwinstr. 9, Los 4 - Innenausbau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SC-082-TW-2026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4 - Innenausbau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